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3541"/>
      </w:tblGrid>
      <w:tr w:rsidR="007233C4" w:rsidRPr="00CE049B" w14:paraId="7F1AD2BA" w14:textId="77777777" w:rsidTr="007233C4">
        <w:trPr>
          <w:trHeight w:val="350"/>
        </w:trPr>
        <w:tc>
          <w:tcPr>
            <w:tcW w:w="13541" w:type="dxa"/>
          </w:tcPr>
          <w:p w14:paraId="3182B9B3" w14:textId="7E2162B9" w:rsidR="007233C4" w:rsidRPr="007233C4" w:rsidRDefault="007233C4" w:rsidP="007233C4">
            <w:pPr>
              <w:spacing w:line="259" w:lineRule="auto"/>
              <w:rPr>
                <w:b/>
                <w:bCs/>
                <w:kern w:val="2"/>
                <w:sz w:val="28"/>
                <w:szCs w:val="28"/>
                <w14:ligatures w14:val="standardContextual"/>
              </w:rPr>
            </w:pPr>
            <w:r w:rsidRPr="007233C4">
              <w:rPr>
                <w:b/>
                <w:bCs/>
                <w:sz w:val="28"/>
                <w:szCs w:val="28"/>
              </w:rPr>
              <w:t>How Does a Coverage Analysis (CA) Work?</w:t>
            </w:r>
          </w:p>
        </w:tc>
      </w:tr>
      <w:tr w:rsidR="007233C4" w:rsidRPr="00CE049B" w14:paraId="3C2E6BEC" w14:textId="77777777" w:rsidTr="007233C4">
        <w:trPr>
          <w:trHeight w:val="908"/>
        </w:trPr>
        <w:tc>
          <w:tcPr>
            <w:tcW w:w="13541" w:type="dxa"/>
          </w:tcPr>
          <w:p w14:paraId="040A91A7" w14:textId="77777777" w:rsidR="007233C4" w:rsidRPr="007233C4" w:rsidRDefault="007233C4" w:rsidP="00A9318D">
            <w:pPr>
              <w:spacing w:before="120"/>
              <w:jc w:val="center"/>
              <w:rPr>
                <w:rFonts w:cstheme="minorHAnsi"/>
                <w:b/>
                <w:bCs/>
                <w:sz w:val="28"/>
                <w:szCs w:val="28"/>
              </w:rPr>
            </w:pPr>
            <w:r w:rsidRPr="007233C4">
              <w:rPr>
                <w:rFonts w:cstheme="minorHAnsi"/>
                <w:b/>
                <w:bCs/>
                <w:sz w:val="28"/>
                <w:szCs w:val="28"/>
              </w:rPr>
              <w:t>No Coverage Analysis in Place</w:t>
            </w:r>
          </w:p>
          <w:p w14:paraId="2482777B" w14:textId="77777777" w:rsidR="007233C4" w:rsidRPr="00CE049B" w:rsidRDefault="007233C4" w:rsidP="00A9318D">
            <w:pPr>
              <w:spacing w:after="120"/>
              <w:jc w:val="center"/>
              <w:rPr>
                <w:rFonts w:ascii="Helvetica" w:hAnsi="Helvetica" w:cs="Helvetica"/>
                <w:b/>
                <w:bCs/>
                <w:sz w:val="20"/>
                <w:szCs w:val="20"/>
              </w:rPr>
            </w:pPr>
            <w:r w:rsidRPr="007233C4">
              <w:rPr>
                <w:rFonts w:cstheme="minorHAnsi"/>
                <w:b/>
                <w:bCs/>
                <w:sz w:val="28"/>
                <w:szCs w:val="28"/>
              </w:rPr>
              <w:t>(Non-Clinical Research Billing)</w:t>
            </w:r>
          </w:p>
        </w:tc>
      </w:tr>
      <w:tr w:rsidR="007233C4" w:rsidRPr="00CE049B" w14:paraId="72A044B6" w14:textId="77777777" w:rsidTr="007233C4">
        <w:trPr>
          <w:trHeight w:val="7850"/>
        </w:trPr>
        <w:tc>
          <w:tcPr>
            <w:tcW w:w="13541" w:type="dxa"/>
          </w:tcPr>
          <w:p w14:paraId="2A47B6A6" w14:textId="77777777" w:rsidR="007233C4" w:rsidRDefault="007233C4" w:rsidP="00A9318D">
            <w:pPr>
              <w:rPr>
                <w:rFonts w:ascii="Helvetica" w:hAnsi="Helvetica" w:cs="Helvetica"/>
                <w:sz w:val="20"/>
                <w:szCs w:val="20"/>
              </w:rPr>
            </w:pPr>
          </w:p>
          <w:p w14:paraId="150F97F1" w14:textId="0669F77A" w:rsidR="007233C4" w:rsidRPr="00CE049B" w:rsidRDefault="007233C4" w:rsidP="00A9318D">
            <w:pPr>
              <w:rPr>
                <w:rFonts w:ascii="Helvetica" w:hAnsi="Helvetica" w:cs="Helvetica"/>
                <w:sz w:val="20"/>
                <w:szCs w:val="20"/>
              </w:rPr>
            </w:pPr>
            <w:r>
              <w:rPr>
                <w:noProof/>
              </w:rPr>
              <w:drawing>
                <wp:inline distT="0" distB="0" distL="0" distR="0" wp14:anchorId="34BAA36B" wp14:editId="78883035">
                  <wp:extent cx="8401050" cy="4325804"/>
                  <wp:effectExtent l="0" t="0" r="0" b="0"/>
                  <wp:docPr id="4523865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386586" name=""/>
                          <pic:cNvPicPr/>
                        </pic:nvPicPr>
                        <pic:blipFill>
                          <a:blip r:embed="rId4"/>
                          <a:stretch>
                            <a:fillRect/>
                          </a:stretch>
                        </pic:blipFill>
                        <pic:spPr>
                          <a:xfrm>
                            <a:off x="0" y="0"/>
                            <a:ext cx="8402386" cy="4326492"/>
                          </a:xfrm>
                          <a:prstGeom prst="rect">
                            <a:avLst/>
                          </a:prstGeom>
                        </pic:spPr>
                      </pic:pic>
                    </a:graphicData>
                  </a:graphic>
                </wp:inline>
              </w:drawing>
            </w:r>
          </w:p>
          <w:p w14:paraId="1244AC7B" w14:textId="77777777" w:rsidR="007233C4" w:rsidRPr="00CE049B" w:rsidRDefault="007233C4" w:rsidP="00A9318D">
            <w:pPr>
              <w:rPr>
                <w:rFonts w:ascii="Helvetica" w:hAnsi="Helvetica" w:cs="Helvetica"/>
                <w:sz w:val="20"/>
                <w:szCs w:val="20"/>
              </w:rPr>
            </w:pPr>
          </w:p>
          <w:p w14:paraId="669BE9EC" w14:textId="77777777" w:rsidR="007233C4" w:rsidRDefault="007233C4" w:rsidP="00A9318D">
            <w:pPr>
              <w:rPr>
                <w:rFonts w:cstheme="minorHAnsi"/>
                <w:sz w:val="24"/>
                <w:szCs w:val="24"/>
              </w:rPr>
            </w:pPr>
          </w:p>
          <w:p w14:paraId="6F1F8C37" w14:textId="77777777" w:rsidR="007233C4" w:rsidRDefault="007233C4" w:rsidP="00A9318D">
            <w:pPr>
              <w:rPr>
                <w:rFonts w:cstheme="minorHAnsi"/>
                <w:sz w:val="24"/>
                <w:szCs w:val="24"/>
              </w:rPr>
            </w:pPr>
            <w:r w:rsidRPr="007233C4">
              <w:rPr>
                <w:rFonts w:cstheme="minorHAnsi"/>
                <w:sz w:val="24"/>
                <w:szCs w:val="24"/>
              </w:rPr>
              <w:t>All patients’ medical center charges automatically flow to the patient/payor.</w:t>
            </w:r>
          </w:p>
          <w:p w14:paraId="125D85A9" w14:textId="77777777" w:rsidR="007233C4" w:rsidRDefault="007233C4" w:rsidP="00A9318D">
            <w:pPr>
              <w:rPr>
                <w:rFonts w:ascii="Helvetica" w:hAnsi="Helvetica" w:cstheme="minorHAnsi"/>
                <w:sz w:val="24"/>
                <w:szCs w:val="24"/>
              </w:rPr>
            </w:pPr>
          </w:p>
          <w:p w14:paraId="6F999970" w14:textId="0AEDF9FC" w:rsidR="007233C4" w:rsidRPr="00CE049B" w:rsidRDefault="007233C4" w:rsidP="00A9318D">
            <w:pPr>
              <w:rPr>
                <w:rFonts w:ascii="Helvetica" w:hAnsi="Helvetica" w:cs="Helvetica"/>
                <w:sz w:val="20"/>
                <w:szCs w:val="20"/>
              </w:rPr>
            </w:pPr>
          </w:p>
        </w:tc>
      </w:tr>
      <w:tr w:rsidR="007233C4" w:rsidRPr="00CE049B" w14:paraId="49FD33D1" w14:textId="77777777" w:rsidTr="007233C4">
        <w:tc>
          <w:tcPr>
            <w:tcW w:w="13541" w:type="dxa"/>
          </w:tcPr>
          <w:p w14:paraId="4CE00A6F" w14:textId="1DA9C841" w:rsidR="007233C4" w:rsidRPr="007233C4" w:rsidRDefault="007233C4" w:rsidP="007233C4">
            <w:pPr>
              <w:spacing w:before="120"/>
              <w:rPr>
                <w:rFonts w:cstheme="minorHAnsi"/>
                <w:b/>
                <w:bCs/>
                <w:sz w:val="28"/>
                <w:szCs w:val="28"/>
              </w:rPr>
            </w:pPr>
            <w:r w:rsidRPr="007233C4">
              <w:rPr>
                <w:b/>
                <w:bCs/>
                <w:sz w:val="28"/>
                <w:szCs w:val="28"/>
              </w:rPr>
              <w:lastRenderedPageBreak/>
              <w:t>How Does a Coverage Analysis (CA) Work?</w:t>
            </w:r>
          </w:p>
        </w:tc>
      </w:tr>
      <w:tr w:rsidR="007233C4" w:rsidRPr="00CE049B" w14:paraId="01971492" w14:textId="77777777" w:rsidTr="007233C4">
        <w:tc>
          <w:tcPr>
            <w:tcW w:w="13541" w:type="dxa"/>
          </w:tcPr>
          <w:p w14:paraId="3E2E126B" w14:textId="77777777" w:rsidR="007233C4" w:rsidRPr="007233C4" w:rsidRDefault="007233C4" w:rsidP="00A9318D">
            <w:pPr>
              <w:spacing w:before="120"/>
              <w:jc w:val="center"/>
              <w:rPr>
                <w:rFonts w:cstheme="minorHAnsi"/>
                <w:b/>
                <w:bCs/>
                <w:sz w:val="28"/>
                <w:szCs w:val="28"/>
              </w:rPr>
            </w:pPr>
            <w:r w:rsidRPr="007233C4">
              <w:rPr>
                <w:rFonts w:cstheme="minorHAnsi"/>
                <w:b/>
                <w:bCs/>
                <w:sz w:val="28"/>
                <w:szCs w:val="28"/>
              </w:rPr>
              <w:t>Coverage Analysis in Place</w:t>
            </w:r>
          </w:p>
          <w:p w14:paraId="08856C44" w14:textId="77777777" w:rsidR="007233C4" w:rsidRPr="00CE049B" w:rsidRDefault="007233C4" w:rsidP="00A9318D">
            <w:pPr>
              <w:spacing w:after="120"/>
              <w:jc w:val="center"/>
              <w:rPr>
                <w:rFonts w:ascii="Helvetica" w:hAnsi="Helvetica" w:cs="Helvetica"/>
                <w:b/>
                <w:bCs/>
                <w:sz w:val="20"/>
                <w:szCs w:val="20"/>
              </w:rPr>
            </w:pPr>
            <w:r w:rsidRPr="007233C4">
              <w:rPr>
                <w:rFonts w:cstheme="minorHAnsi"/>
                <w:b/>
                <w:bCs/>
                <w:sz w:val="28"/>
                <w:szCs w:val="28"/>
              </w:rPr>
              <w:t>(Clinical Research Billing)</w:t>
            </w:r>
          </w:p>
        </w:tc>
      </w:tr>
      <w:tr w:rsidR="007233C4" w:rsidRPr="00CE049B" w14:paraId="2879F33F" w14:textId="77777777" w:rsidTr="007233C4">
        <w:tc>
          <w:tcPr>
            <w:tcW w:w="13541" w:type="dxa"/>
          </w:tcPr>
          <w:p w14:paraId="1BFCCA6E" w14:textId="77777777" w:rsidR="007233C4" w:rsidRPr="00CE049B" w:rsidRDefault="007233C4" w:rsidP="00A9318D">
            <w:pPr>
              <w:rPr>
                <w:rFonts w:ascii="Helvetica" w:hAnsi="Helvetica" w:cs="Helvetica"/>
                <w:sz w:val="20"/>
                <w:szCs w:val="20"/>
              </w:rPr>
            </w:pPr>
          </w:p>
          <w:p w14:paraId="4BEEA9F0" w14:textId="628A81C1" w:rsidR="007233C4" w:rsidRPr="00CE049B" w:rsidRDefault="007233C4" w:rsidP="00A9318D">
            <w:pPr>
              <w:jc w:val="center"/>
              <w:rPr>
                <w:rFonts w:ascii="Helvetica" w:hAnsi="Helvetica" w:cs="Helvetica"/>
                <w:sz w:val="20"/>
                <w:szCs w:val="20"/>
              </w:rPr>
            </w:pPr>
            <w:r>
              <w:rPr>
                <w:noProof/>
              </w:rPr>
              <w:drawing>
                <wp:inline distT="0" distB="0" distL="0" distR="0" wp14:anchorId="76A0C20B" wp14:editId="5C1A2203">
                  <wp:extent cx="8461883" cy="4300220"/>
                  <wp:effectExtent l="0" t="0" r="0" b="5080"/>
                  <wp:docPr id="13433033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3303317" name=""/>
                          <pic:cNvPicPr/>
                        </pic:nvPicPr>
                        <pic:blipFill>
                          <a:blip r:embed="rId5"/>
                          <a:stretch>
                            <a:fillRect/>
                          </a:stretch>
                        </pic:blipFill>
                        <pic:spPr>
                          <a:xfrm>
                            <a:off x="0" y="0"/>
                            <a:ext cx="8463971" cy="4301281"/>
                          </a:xfrm>
                          <a:prstGeom prst="rect">
                            <a:avLst/>
                          </a:prstGeom>
                        </pic:spPr>
                      </pic:pic>
                    </a:graphicData>
                  </a:graphic>
                </wp:inline>
              </w:drawing>
            </w:r>
          </w:p>
          <w:p w14:paraId="1DFA4893" w14:textId="77777777" w:rsidR="007233C4" w:rsidRPr="00CE049B" w:rsidRDefault="007233C4" w:rsidP="00A9318D">
            <w:pPr>
              <w:rPr>
                <w:rFonts w:ascii="Helvetica" w:hAnsi="Helvetica" w:cs="Helvetica"/>
                <w:sz w:val="20"/>
                <w:szCs w:val="20"/>
              </w:rPr>
            </w:pPr>
          </w:p>
          <w:p w14:paraId="25BEEC3F" w14:textId="24D541DA" w:rsidR="007233C4" w:rsidRPr="007233C4" w:rsidRDefault="007233C4" w:rsidP="00A9318D">
            <w:pPr>
              <w:rPr>
                <w:rFonts w:cstheme="minorHAnsi"/>
                <w:sz w:val="24"/>
                <w:szCs w:val="24"/>
              </w:rPr>
            </w:pPr>
            <w:r w:rsidRPr="007233C4">
              <w:rPr>
                <w:rFonts w:cstheme="minorHAnsi"/>
                <w:sz w:val="24"/>
                <w:szCs w:val="24"/>
              </w:rPr>
              <w:t xml:space="preserve">All </w:t>
            </w:r>
            <w:r w:rsidRPr="007233C4">
              <w:rPr>
                <w:rFonts w:cstheme="minorHAnsi"/>
                <w:i/>
                <w:iCs/>
                <w:sz w:val="24"/>
                <w:szCs w:val="24"/>
                <w:u w:val="single"/>
              </w:rPr>
              <w:t>linked</w:t>
            </w:r>
            <w:r w:rsidRPr="007233C4">
              <w:rPr>
                <w:rFonts w:cstheme="minorHAnsi"/>
                <w:sz w:val="24"/>
                <w:szCs w:val="24"/>
              </w:rPr>
              <w:t xml:space="preserve"> study participants’ charges are redirected to the Research Revenue Cycle (RRC) Team for review. The RRC Team references the CA to guide them on how to direct the charges. If an item/ service is not on the CA, then it is assumed it is not required by the study and tossed back into the medical center’s non-clinical research billing flow.</w:t>
            </w:r>
          </w:p>
        </w:tc>
      </w:tr>
    </w:tbl>
    <w:p w14:paraId="65DE745A" w14:textId="77777777" w:rsidR="007233C4" w:rsidRDefault="007233C4"/>
    <w:sectPr w:rsidR="007233C4" w:rsidSect="007233C4">
      <w:pgSz w:w="15840" w:h="12240" w:orient="landscape"/>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3C4"/>
    <w:rsid w:val="001A4FE6"/>
    <w:rsid w:val="002E12CF"/>
    <w:rsid w:val="003036D6"/>
    <w:rsid w:val="00362346"/>
    <w:rsid w:val="003713B2"/>
    <w:rsid w:val="00400686"/>
    <w:rsid w:val="00577C1E"/>
    <w:rsid w:val="007233C4"/>
    <w:rsid w:val="008D718F"/>
    <w:rsid w:val="00BD53AF"/>
    <w:rsid w:val="00C248DE"/>
    <w:rsid w:val="00F25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59C7B"/>
  <w15:chartTrackingRefBased/>
  <w15:docId w15:val="{3CABB918-28D2-43A2-94E2-D7B2CEDF2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33C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81</Words>
  <Characters>561</Characters>
  <Application>Microsoft Office Word</Application>
  <DocSecurity>0</DocSecurity>
  <Lines>43</Lines>
  <Paragraphs>33</Paragraphs>
  <ScaleCrop>false</ScaleCrop>
  <Company>UCSF</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Amsden, Katie</dc:creator>
  <cp:keywords/>
  <dc:description/>
  <cp:lastModifiedBy>Amsden, Katie</cp:lastModifiedBy>
  <cp:revision>1</cp:revision>
  <dcterms:created xsi:type="dcterms:W3CDTF">2024-02-05T19:21:00Z</dcterms:created>
  <dcterms:modified xsi:type="dcterms:W3CDTF">2024-02-05T19:28:00Z</dcterms:modified>
</cp:coreProperties>
</file>